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附件</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嘉定区区属企业不动产招租平台</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eastAsia="方正小标宋简体"/>
          <w:sz w:val="44"/>
          <w:szCs w:val="44"/>
        </w:rPr>
        <w:t>实施细则</w:t>
      </w:r>
      <w:r>
        <w:rPr>
          <w:rFonts w:hint="eastAsia" w:ascii="方正小标宋简体" w:hAnsi="方正小标宋简体" w:eastAsia="方正小标宋简体" w:cs="方正小标宋简体"/>
          <w:kern w:val="0"/>
          <w:sz w:val="44"/>
          <w:szCs w:val="44"/>
        </w:rPr>
        <w:t>（2025版）</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36"/>
          <w:szCs w:val="36"/>
        </w:rPr>
      </w:pPr>
    </w:p>
    <w:p>
      <w:pPr>
        <w:keepNext w:val="0"/>
        <w:keepLines w:val="0"/>
        <w:pageBreakBefore w:val="0"/>
        <w:widowControl w:val="0"/>
        <w:numPr>
          <w:ilvl w:val="0"/>
          <w:numId w:val="0"/>
        </w:numPr>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 xml:space="preserve">第一章 </w:t>
      </w:r>
      <w:r>
        <w:rPr>
          <w:rFonts w:hint="eastAsia" w:ascii="仿宋_GB2312" w:hAnsi="仿宋_GB2312" w:eastAsia="仿宋_GB2312" w:cs="仿宋_GB2312"/>
          <w:b/>
          <w:sz w:val="28"/>
          <w:szCs w:val="28"/>
        </w:rPr>
        <w:t>总则</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xml:space="preserve"> 为进一步规范上海嘉耘资产管理有限公司（以下简称：嘉耘公司）嘉定区区属企业不动</w:t>
      </w:r>
      <w:bookmarkStart w:id="0" w:name="_GoBack"/>
      <w:bookmarkEnd w:id="0"/>
      <w:r>
        <w:rPr>
          <w:rFonts w:hint="eastAsia" w:ascii="仿宋_GB2312" w:hAnsi="仿宋_GB2312" w:eastAsia="仿宋_GB2312" w:cs="仿宋_GB2312"/>
          <w:sz w:val="28"/>
          <w:szCs w:val="28"/>
        </w:rPr>
        <w:t>产招租平台（以下简称：招租平台）运营管理，确保不动产招租业务顺利开展，维护交易各方的合法权益，根据《嘉定区区属企业不动产租赁管理办法（2025版）》及区国资委（区集资委）相关工作要求，制定本实施细则。</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xml:space="preserve"> 本实施细则所称不动产招租，是指嘉定区各级区属国有（集体）独资和国有（集体）控股以及国有（集体）实际控制企业（以下简称：出租方）将其所有或受托管理的，按法律法规可用于租赁的不动产（以下简称：租赁标的）通过招租平台部分或全部出租给自然人、法人或其他组织（以下简称:承租方）使用，并向承租方收取租金的行为。</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xml:space="preserve"> 不动产招租应当遵守国家相关法律法规，遵循公开、公平、公正、诚实信用的原则。用于出租的不动产应权属清晰，法律法规或者本区各级主管部门规范性文件规定禁止出租的不动产，不得作为租赁标的。</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第二章 出租方及租赁标的信息登记</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第四条</w:t>
      </w:r>
      <w:r>
        <w:rPr>
          <w:rFonts w:hint="eastAsia" w:ascii="仿宋_GB2312" w:hAnsi="仿宋_GB2312" w:eastAsia="仿宋_GB2312" w:cs="仿宋_GB2312"/>
          <w:sz w:val="28"/>
          <w:szCs w:val="28"/>
        </w:rPr>
        <w:t xml:space="preserve"> 租赁标的进行挂牌前，出租方应在招租平台进行登记，并提交以下主体资格证明及标的信息材料：</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（一）挂牌申请书（含招租条件）；</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（二）出租方有效资格证明；</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（三）租赁标的的房地产权证及相关有效权利证明；</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（四）出租方对相关挂牌要素确认的有效文件；</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（五）其他嘉耘公司认为需要提交的材料。</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出租方对提交材料的真实性、完整性、准确性、合法性和有效性负责。嘉耘公司对出租方提供的材料进行核实，材料不符合要求的，应要求补充或更换；最终材料仍不符合要求的，嘉耘公司有权拒绝出租方挂牌。</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xml:space="preserve"> 租赁标的的挂牌内容一般应包括租赁标的基本情况、租赁期限、出租价格、租赁业态、租赁面积、对意向承租方的条件要求等。出租方不得在挂牌期间随意变动挂牌主要内容和条件，不得擅自停牌或撤牌，不得提出有违公平竞争原则的招租条件。</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第七条</w:t>
      </w:r>
      <w:r>
        <w:rPr>
          <w:rFonts w:hint="eastAsia" w:ascii="仿宋_GB2312" w:hAnsi="仿宋_GB2312" w:eastAsia="仿宋_GB2312" w:cs="仿宋_GB2312"/>
          <w:sz w:val="28"/>
          <w:szCs w:val="28"/>
        </w:rPr>
        <w:t xml:space="preserve"> 租赁标的的挂牌价格必须符合《嘉定区区属企业不动产租赁管理办法（2025版）》规定，出租方需提供对租赁价格确认的有效文件。</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第八条</w:t>
      </w:r>
      <w:r>
        <w:rPr>
          <w:rFonts w:hint="eastAsia" w:ascii="仿宋_GB2312" w:hAnsi="仿宋_GB2312" w:eastAsia="仿宋_GB2312" w:cs="仿宋_GB2312"/>
          <w:sz w:val="28"/>
          <w:szCs w:val="28"/>
        </w:rPr>
        <w:t xml:space="preserve"> 出租方一般应在租赁标的合同到期前 2 个月递交挂牌申请书。</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第三章 租赁标的挂牌</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rPr>
        <w:t xml:space="preserve"> 租赁标的挂牌分为公开挂牌和非公开挂牌。公开挂牌适用于除法律法规另有规定外的所有租赁标的；非公开挂牌仅适用于符合《嘉定区区属企业不动产租赁管理办法（2025版）》规定的特殊情形。</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第十条</w:t>
      </w:r>
      <w:r>
        <w:rPr>
          <w:rFonts w:hint="eastAsia" w:ascii="仿宋_GB2312" w:hAnsi="仿宋_GB2312" w:eastAsia="仿宋_GB2312" w:cs="仿宋_GB2312"/>
          <w:sz w:val="28"/>
          <w:szCs w:val="28"/>
        </w:rPr>
        <w:t xml:space="preserve"> 公开挂牌招租方式可采用竞价和择优的方式。嘉耘公司按招租公告中明确的招租方式组织交易。</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第十一条</w:t>
      </w:r>
      <w:r>
        <w:rPr>
          <w:rFonts w:hint="eastAsia" w:ascii="仿宋_GB2312" w:hAnsi="仿宋_GB2312" w:eastAsia="仿宋_GB2312" w:cs="仿宋_GB2312"/>
          <w:sz w:val="28"/>
          <w:szCs w:val="28"/>
        </w:rPr>
        <w:t xml:space="preserve"> 公开挂牌流程：</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（一）出租方向招租平台申请公开挂牌，填写《挂牌申请书》等相关材料；</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（二）嘉耘公司应在 3 个工作日内完成材料及挂牌内容审核受理，出具《挂牌受理通知书》，并在嘉耘公司网站（www.shjyam.com）予以挂牌。</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（三）公开挂牌期限自招租平台网站公开发布信息之工作日起算，一般不少于5个工作日。</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第十二条</w:t>
      </w:r>
      <w:r>
        <w:rPr>
          <w:rFonts w:hint="eastAsia" w:ascii="仿宋_GB2312" w:hAnsi="仿宋_GB2312" w:eastAsia="仿宋_GB2312" w:cs="仿宋_GB2312"/>
          <w:sz w:val="28"/>
          <w:szCs w:val="28"/>
        </w:rPr>
        <w:t xml:space="preserve"> 公开挂牌期限内未征集到意向承租方的，按以下规定处理：</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（一）出租方不变更挂牌内容的，嘉耘公司可根据《挂牌申请书》约定办理延长挂牌期限手续，每次延长不少于 5 个工作日；</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（二）出租方需变动挂牌内容和条件的，应重新办理挂牌申请，再次挂牌期限不少于 5 个工作日。</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第十三条</w:t>
      </w:r>
      <w:r>
        <w:rPr>
          <w:rFonts w:hint="eastAsia" w:ascii="仿宋_GB2312" w:hAnsi="仿宋_GB2312" w:eastAsia="仿宋_GB2312" w:cs="仿宋_GB2312"/>
          <w:sz w:val="28"/>
          <w:szCs w:val="28"/>
        </w:rPr>
        <w:t xml:space="preserve"> 公开挂牌期间出现以下情形的，予以停牌或撤牌：</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（一）对租赁标的存有争议且能提供证明材料的，出租方或利益相关人可申请停牌，嘉耘公司核实后予以停牌；</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（二）因不可抗力导致租赁标的产权或出租方发生重大变化，影响挂牌内容中相关义务履行的，或因出租方提供虚假资料导致挂牌内容严重失实的，嘉耘公司核实后予以撤牌，并向出租方出具《撤牌通知书》。</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第十四条</w:t>
      </w:r>
      <w:r>
        <w:rPr>
          <w:rFonts w:hint="eastAsia" w:ascii="仿宋_GB2312" w:hAnsi="仿宋_GB2312" w:eastAsia="仿宋_GB2312" w:cs="仿宋_GB2312"/>
          <w:sz w:val="28"/>
          <w:szCs w:val="28"/>
        </w:rPr>
        <w:t xml:space="preserve"> 非公开挂牌流程：</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（一）租赁标的符合《嘉定区区属企业不动产租赁管理办法（2025版）》相关条款规定的，出租方可向嘉耘公司申请非公开挂牌备案，并提交相关备案依据；</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（二）嘉耘公司应在 3 个工作日内完成备案内容审核受理，并在嘉耘公司网站（www.shjyam.com）予以公告。</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第四章 承租申请举牌</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第十五条</w:t>
      </w:r>
      <w:r>
        <w:rPr>
          <w:rFonts w:hint="eastAsia" w:ascii="仿宋_GB2312" w:hAnsi="仿宋_GB2312" w:eastAsia="仿宋_GB2312" w:cs="仿宋_GB2312"/>
          <w:sz w:val="28"/>
          <w:szCs w:val="28"/>
        </w:rPr>
        <w:t xml:space="preserve"> 意向承租方应在租赁标的挂牌期间，向招租平台提交以下材料申请举牌：</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（一）举牌申请书；</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（二）营业执照、机构代码证、身份证（或法定代表人身份证）等有效资格证明；</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（三）其他嘉耘公司认为需要提交的材料。</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第十六条</w:t>
      </w:r>
      <w:r>
        <w:rPr>
          <w:rFonts w:hint="eastAsia" w:ascii="仿宋_GB2312" w:hAnsi="仿宋_GB2312" w:eastAsia="仿宋_GB2312" w:cs="仿宋_GB2312"/>
          <w:sz w:val="28"/>
          <w:szCs w:val="28"/>
        </w:rPr>
        <w:t xml:space="preserve"> 意向承租方应对提交材料的真实性、完整性、准确性、合法性和有效性负责。嘉耘公司在 3 个工作日内受理审核，将符合条件的意向承租方信息登记存档。</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第五章 组织交易与确定承租方</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第十七条</w:t>
      </w:r>
      <w:r>
        <w:rPr>
          <w:rFonts w:hint="eastAsia" w:ascii="仿宋_GB2312" w:hAnsi="仿宋_GB2312" w:eastAsia="仿宋_GB2312" w:cs="仿宋_GB2312"/>
          <w:sz w:val="28"/>
          <w:szCs w:val="28"/>
        </w:rPr>
        <w:t xml:space="preserve"> 招租平台按照公开挂牌中明确的招租方式组织交易。挂牌期满后 3 个工作日内，根据意向承租方数量确定交易方式：</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（一）仅产生 1 个符合条件的意向承租方的，该意向承租方即为确定的承租方，以挂牌价格为基准采取协议租赁方式；</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（二）产生 2 个及以上符合条件的意向承租方的，可采用公开竞价或择优方式开展交易。其中，公开竞价采用一次性密封报价方式（具体规则详见本章第十八条），出价最高者确定为承租方；择优方式由出租方在招租公告中明确相关标准，并由出租方进行综合评定，根据评定结果确定承租方。</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第十八条</w:t>
      </w:r>
      <w:r>
        <w:rPr>
          <w:rFonts w:hint="eastAsia" w:ascii="仿宋_GB2312" w:hAnsi="仿宋_GB2312" w:eastAsia="仿宋_GB2312" w:cs="仿宋_GB2312"/>
          <w:sz w:val="28"/>
          <w:szCs w:val="28"/>
        </w:rPr>
        <w:t xml:space="preserve"> 公开竞价规则：</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（一）意向承租方应在竞价前缴纳竞价保证金，收取标准为按租赁标的挂牌租金的2个月租金金额收取且不低于2万元；</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（二）竞价当日，意向承租方（或其代理人）需携带身份证（或委托书及身份证原件），经核实后方可参与竞价；</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（三）竞价采用书面报价，意向承租方应在规定时间内将密封的报价文件现场提交至招租平台，报价文件一经提交不得撤销；</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（四）意向承租方作出报价行为即视为接受邀约，表明已充分了解租赁标的全部现状和租赁要求；</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（五）报价不得低于挂牌底价，且不得高于出租方规定的报价上限(如有），否则视为无效报价；</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招租平台于竞价当日现场拆封报价文件，原则上以报价最高者确定为承租方；原租户在同等报价下享有优先承租权；若两个以上非原租户报出最高价，需在最高价基础上重新报价，出价最高者为最终承租方；</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（七）竞价结果确认后，嘉耘公司开具《物业竞价成交价格确认书》，由承租方当场签署；拒绝签署的视为放弃承租，竞价保证金不予退还，并追究相应法律责任；</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（八）参与公开竞价的意向承租方必须遵守竞价现场秩序。不得阻扰、干涉他人竞价，或通过恶意串通操纵、控制竞价；一经发现，将取消其竞价资格并没收竞价保证金，构成犯罪的移送司法机关处理。</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 xml:space="preserve"> 确定承租方后，由出租方或承租方在10个工作日内向嘉耘公司支付挂牌服务费。嘉耘公司对符合程序的租赁双方开具《租赁凭证》后即是为承租方取得承租资格，未按期支付则视为承租方放弃承租资格，《租赁凭证》作为签订租赁合同的参考依据。</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第六章 合同备案及结果公示</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出租方与承租方应在《租赁凭证》开具之日起依照挂牌信息及《租赁凭证》内容签订租赁合同。</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第二十一条</w:t>
      </w:r>
      <w:r>
        <w:rPr>
          <w:rFonts w:hint="eastAsia" w:ascii="仿宋_GB2312" w:hAnsi="仿宋_GB2312" w:eastAsia="仿宋_GB2312" w:cs="仿宋_GB2312"/>
          <w:sz w:val="28"/>
          <w:szCs w:val="28"/>
        </w:rPr>
        <w:t xml:space="preserve"> 出租方可将签订生效的租赁合同电子文件发送至招租平台进行备案。</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第二十二条</w:t>
      </w:r>
      <w:r>
        <w:rPr>
          <w:rFonts w:hint="eastAsia" w:ascii="仿宋_GB2312" w:hAnsi="仿宋_GB2312" w:eastAsia="仿宋_GB2312" w:cs="仿宋_GB2312"/>
          <w:sz w:val="28"/>
          <w:szCs w:val="28"/>
        </w:rPr>
        <w:t xml:space="preserve"> 挂牌竞价结果接受社会监督，对竞价或择优过程或结果有异议的，可在结果确认后 5 个工作日内以书面形式向嘉耘公司申请复核。嘉耘公司认定申请复核事项确有依据的，可作出暂停签约并予以复核的决定。经复核，情况属实的可认定异议成立，可作出挂牌竞价无效、重新竞价的决定，并向责任方追偿损失。</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第七章 其他</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第二十三条</w:t>
      </w:r>
      <w:r>
        <w:rPr>
          <w:rFonts w:hint="eastAsia" w:ascii="仿宋_GB2312" w:hAnsi="仿宋_GB2312" w:eastAsia="仿宋_GB2312" w:cs="仿宋_GB2312"/>
          <w:sz w:val="28"/>
          <w:szCs w:val="28"/>
        </w:rPr>
        <w:t xml:space="preserve"> 嘉耘公司按以下标准收取挂牌服务费：</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（一）非公开挂牌备案：按每笔业务 500 元收取，由出租方或承租方支付；</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（二）公开挂牌：</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1、标的性质为厂房、仓库等产业类的，按合同月租金的 35% 收取，最高单笔 20000 元，由出租方或承租方支付；</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2、标的性质为商贸、办公、酒店、娱乐等商业类、住宅类和其他用途类的，按合同月租金的 35% 收取，最高单笔 5000 元，由出租方或承租方支付；</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第二十四条</w:t>
      </w:r>
      <w:r>
        <w:rPr>
          <w:rFonts w:hint="eastAsia" w:ascii="仿宋_GB2312" w:hAnsi="仿宋_GB2312" w:eastAsia="仿宋_GB2312" w:cs="仿宋_GB2312"/>
          <w:sz w:val="28"/>
          <w:szCs w:val="28"/>
        </w:rPr>
        <w:t xml:space="preserve"> 租赁标的挂牌纸质材料在挂牌结束后由嘉耘公司返还出租方自行保存。</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第二十五条</w:t>
      </w:r>
      <w:r>
        <w:rPr>
          <w:rFonts w:hint="eastAsia" w:ascii="仿宋_GB2312" w:hAnsi="仿宋_GB2312" w:eastAsia="仿宋_GB2312" w:cs="仿宋_GB2312"/>
          <w:sz w:val="28"/>
          <w:szCs w:val="28"/>
        </w:rPr>
        <w:t xml:space="preserve"> 嘉耘公司可提供标准格式合同文本，为租赁双方提供必要的业务指导。</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第二十六条</w:t>
      </w:r>
      <w:r>
        <w:rPr>
          <w:rFonts w:hint="eastAsia" w:ascii="仿宋_GB2312" w:hAnsi="仿宋_GB2312" w:eastAsia="仿宋_GB2312" w:cs="仿宋_GB2312"/>
          <w:sz w:val="28"/>
          <w:szCs w:val="28"/>
        </w:rPr>
        <w:t xml:space="preserve"> 招租平台可根据上级主管部门要求，在第三方渠道发布招租信息，发布内容应与招租平台信息一致。</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第八章 附则</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第二十七条</w:t>
      </w:r>
      <w:r>
        <w:rPr>
          <w:rFonts w:hint="eastAsia" w:ascii="仿宋_GB2312" w:hAnsi="仿宋_GB2312" w:eastAsia="仿宋_GB2312" w:cs="仿宋_GB2312"/>
          <w:sz w:val="28"/>
          <w:szCs w:val="28"/>
        </w:rPr>
        <w:t xml:space="preserve"> 非本区区属国有企业的不动产租赁业务，可参照本实施细则执行；有特别规定的，从其规定。</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第二十九条</w:t>
      </w:r>
      <w:r>
        <w:rPr>
          <w:rFonts w:hint="eastAsia" w:ascii="仿宋_GB2312" w:hAnsi="仿宋_GB2312" w:eastAsia="仿宋_GB2312" w:cs="仿宋_GB2312"/>
          <w:sz w:val="28"/>
          <w:szCs w:val="28"/>
        </w:rPr>
        <w:t xml:space="preserve"> 本实施细则未尽事宜，参照上海嘉耘资产管理有限公司相关规定执行。国家法律法规及政府相关部门对不动产租赁有特别规定的，从其规定。</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第三十条</w:t>
      </w:r>
      <w:r>
        <w:rPr>
          <w:rFonts w:hint="eastAsia" w:ascii="仿宋_GB2312" w:hAnsi="仿宋_GB2312" w:eastAsia="仿宋_GB2312" w:cs="仿宋_GB2312"/>
          <w:sz w:val="28"/>
          <w:szCs w:val="28"/>
        </w:rPr>
        <w:t xml:space="preserve"> 本实施细则由上海嘉耘资产管理有限公司负责解释。</w:t>
      </w:r>
    </w:p>
    <w:p>
      <w:pPr>
        <w:keepNext w:val="0"/>
        <w:keepLines w:val="0"/>
        <w:pageBreakBefore w:val="0"/>
        <w:widowControl w:val="0"/>
        <w:kinsoku/>
        <w:overflowPunct/>
        <w:topLinePunct w:val="0"/>
        <w:autoSpaceDE/>
        <w:autoSpaceDN/>
        <w:bidi w:val="0"/>
        <w:adjustRightInd/>
        <w:snapToGrid/>
        <w:spacing w:line="6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第三十一条</w:t>
      </w:r>
      <w:r>
        <w:rPr>
          <w:rFonts w:hint="eastAsia" w:ascii="仿宋_GB2312" w:hAnsi="仿宋_GB2312" w:eastAsia="仿宋_GB2312" w:cs="仿宋_GB2312"/>
          <w:sz w:val="28"/>
          <w:szCs w:val="28"/>
        </w:rPr>
        <w:t xml:space="preserve"> 本实施细则自</w:t>
      </w:r>
      <w:r>
        <w:rPr>
          <w:rFonts w:hint="eastAsia" w:ascii="仿宋_GB2312" w:hAnsi="仿宋_GB2312" w:eastAsia="仿宋_GB2312" w:cs="仿宋_GB2312"/>
          <w:sz w:val="28"/>
          <w:szCs w:val="28"/>
          <w:lang w:val="en-US" w:eastAsia="zh-CN"/>
        </w:rPr>
        <w:t>2025年12月1日起正式施行</w:t>
      </w:r>
      <w:r>
        <w:rPr>
          <w:rFonts w:hint="eastAsia" w:ascii="仿宋_GB2312" w:hAnsi="仿宋_GB2312" w:eastAsia="仿宋_GB2312" w:cs="仿宋_GB2312"/>
          <w:sz w:val="28"/>
          <w:szCs w:val="28"/>
        </w:rPr>
        <w:t>。</w:t>
      </w: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overflowPunct/>
        <w:topLinePunct w:val="0"/>
        <w:autoSpaceDE/>
        <w:autoSpaceDN/>
        <w:bidi w:val="0"/>
        <w:adjustRightInd/>
        <w:snapToGrid/>
        <w:spacing w:line="60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上海嘉耘资产管理有限公司</w:t>
      </w:r>
    </w:p>
    <w:p>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2025 年11月10日</w:t>
      </w:r>
      <w:r>
        <w:rPr>
          <w:rFonts w:hint="eastAsia" w:ascii="仿宋_GB2312" w:hAnsi="仿宋_GB2312" w:eastAsia="仿宋_GB2312" w:cs="仿宋_GB2312"/>
          <w:sz w:val="28"/>
          <w:szCs w:val="28"/>
          <w:lang w:val="en-US" w:eastAsia="zh-CN"/>
        </w:rPr>
        <w:t xml:space="preserve">   </w:t>
      </w:r>
    </w:p>
    <w:sectPr>
      <w:headerReference r:id="rId3" w:type="default"/>
      <w:footerReference r:id="rId5" w:type="default"/>
      <w:headerReference r:id="rId4" w:type="even"/>
      <w:footerReference r:id="rId6" w:type="even"/>
      <w:pgSz w:w="11906" w:h="16838"/>
      <w:pgMar w:top="567" w:right="1134" w:bottom="1134"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5880"/>
      <w:docPartObj>
        <w:docPartGallery w:val="autotext"/>
      </w:docPartObj>
    </w:sdtPr>
    <w:sdtContent>
      <w:sdt>
        <w:sdtPr>
          <w:id w:val="5655864"/>
          <w:docPartObj>
            <w:docPartGallery w:val="autotext"/>
          </w:docPartObj>
        </w:sdtPr>
        <w:sdtContent>
          <w:p>
            <w:pPr>
              <w:pStyle w:val="4"/>
              <w:jc w:val="right"/>
              <w:rPr>
                <w:sz w:val="21"/>
              </w:rPr>
            </w:pPr>
            <w:r>
              <w:rPr>
                <w:rFonts w:hint="eastAsia" w:ascii="宋体" w:hAnsi="宋体" w:cs="宋体"/>
                <w:b/>
                <w:bCs/>
                <w:color w:val="000000"/>
                <w:sz w:val="24"/>
                <w:szCs w:val="24"/>
              </w:rPr>
              <w:t>-</w:t>
            </w:r>
            <w:r>
              <w:rPr>
                <w:rFonts w:ascii="宋体" w:hAnsi="宋体" w:cs="宋体"/>
                <w:b/>
                <w:bCs/>
                <w:color w:val="000000"/>
                <w:sz w:val="24"/>
                <w:szCs w:val="24"/>
              </w:rPr>
              <w:fldChar w:fldCharType="begin"/>
            </w:r>
            <w:r>
              <w:rPr>
                <w:rFonts w:ascii="宋体" w:hAnsi="宋体" w:cs="宋体"/>
                <w:b/>
                <w:bCs/>
                <w:color w:val="000000"/>
                <w:sz w:val="24"/>
                <w:szCs w:val="24"/>
              </w:rPr>
              <w:instrText xml:space="preserve"> PAGE  \* MERGEFORMAT </w:instrText>
            </w:r>
            <w:r>
              <w:rPr>
                <w:rFonts w:ascii="宋体" w:hAnsi="宋体" w:cs="宋体"/>
                <w:b/>
                <w:bCs/>
                <w:color w:val="000000"/>
                <w:sz w:val="24"/>
                <w:szCs w:val="24"/>
              </w:rPr>
              <w:fldChar w:fldCharType="separate"/>
            </w:r>
            <w:r>
              <w:rPr>
                <w:rFonts w:ascii="宋体" w:hAnsi="宋体" w:cs="宋体"/>
                <w:b/>
                <w:bCs/>
                <w:color w:val="000000"/>
                <w:sz w:val="24"/>
                <w:szCs w:val="24"/>
              </w:rPr>
              <w:t>5</w:t>
            </w:r>
            <w:r>
              <w:rPr>
                <w:rFonts w:ascii="宋体" w:hAnsi="宋体" w:cs="宋体"/>
                <w:b/>
                <w:bCs/>
                <w:color w:val="000000"/>
                <w:sz w:val="24"/>
                <w:szCs w:val="24"/>
              </w:rPr>
              <w:fldChar w:fldCharType="end"/>
            </w:r>
            <w:r>
              <w:rPr>
                <w:rFonts w:hint="eastAsia" w:ascii="宋体" w:hAnsi="宋体" w:cs="宋体"/>
                <w:b/>
                <w:bCs/>
                <w:color w:val="000000"/>
                <w:sz w:val="24"/>
                <w:szCs w:val="24"/>
              </w:rPr>
              <w:t>-</w:t>
            </w:r>
          </w:p>
        </w:sdtContent>
      </w:sdt>
      <w:p>
        <w:pPr>
          <w:pStyle w:val="4"/>
        </w:pPr>
        <w:r>
          <w:t xml:space="preserve"> </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cs="宋体"/>
        <w:b/>
        <w:bCs/>
        <w:color w:val="000000"/>
        <w:sz w:val="24"/>
        <w:szCs w:val="24"/>
      </w:rPr>
    </w:pPr>
    <w:r>
      <w:rPr>
        <w:rFonts w:hint="eastAsia" w:ascii="宋体" w:hAnsi="宋体" w:cs="宋体"/>
        <w:b/>
        <w:bCs/>
        <w:color w:val="000000"/>
        <w:sz w:val="24"/>
        <w:szCs w:val="24"/>
      </w:rPr>
      <w:t>-</w:t>
    </w:r>
    <w:r>
      <w:rPr>
        <w:rFonts w:ascii="宋体" w:hAnsi="宋体" w:cs="宋体"/>
        <w:b/>
        <w:bCs/>
        <w:color w:val="000000"/>
        <w:sz w:val="24"/>
        <w:szCs w:val="24"/>
      </w:rPr>
      <w:fldChar w:fldCharType="begin"/>
    </w:r>
    <w:r>
      <w:rPr>
        <w:rFonts w:ascii="宋体" w:hAnsi="宋体" w:cs="宋体"/>
        <w:b/>
        <w:bCs/>
        <w:color w:val="000000"/>
        <w:sz w:val="24"/>
        <w:szCs w:val="24"/>
      </w:rPr>
      <w:instrText xml:space="preserve"> PAGE  \* MERGEFORMAT </w:instrText>
    </w:r>
    <w:r>
      <w:rPr>
        <w:rFonts w:ascii="宋体" w:hAnsi="宋体" w:cs="宋体"/>
        <w:b/>
        <w:bCs/>
        <w:color w:val="000000"/>
        <w:sz w:val="24"/>
        <w:szCs w:val="24"/>
      </w:rPr>
      <w:fldChar w:fldCharType="separate"/>
    </w:r>
    <w:r>
      <w:rPr>
        <w:rFonts w:ascii="宋体" w:hAnsi="宋体" w:cs="宋体"/>
        <w:b/>
        <w:bCs/>
        <w:color w:val="000000"/>
        <w:sz w:val="24"/>
        <w:szCs w:val="24"/>
      </w:rPr>
      <w:t>6</w:t>
    </w:r>
    <w:r>
      <w:rPr>
        <w:rFonts w:ascii="宋体" w:hAnsi="宋体" w:cs="宋体"/>
        <w:b/>
        <w:bCs/>
        <w:color w:val="000000"/>
        <w:sz w:val="24"/>
        <w:szCs w:val="24"/>
      </w:rPr>
      <w:fldChar w:fldCharType="end"/>
    </w:r>
    <w:r>
      <w:rPr>
        <w:rFonts w:hint="eastAsia" w:ascii="宋体" w:hAnsi="宋体" w:cs="宋体"/>
        <w:b/>
        <w:bCs/>
        <w:color w:val="000000"/>
        <w:sz w:val="24"/>
        <w:szCs w:val="24"/>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3105"/>
        <w:tab w:val="center" w:pos="4536"/>
      </w:tabs>
      <w:jc w:val="both"/>
    </w:pPr>
    <w:r>
      <w:drawing>
        <wp:inline distT="0" distB="0" distL="0" distR="0">
          <wp:extent cx="1381125" cy="381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81125" cy="381000"/>
                  </a:xfrm>
                  <a:prstGeom prst="rect">
                    <a:avLst/>
                  </a:prstGeom>
                  <a:noFill/>
                  <a:ln>
                    <a:noFill/>
                  </a:ln>
                </pic:spPr>
              </pic:pic>
            </a:graphicData>
          </a:graphic>
        </wp:inline>
      </w:drawing>
    </w:r>
    <w:r>
      <w:tab/>
    </w:r>
  </w:p>
  <w:p>
    <w:pPr>
      <w:pStyle w:val="5"/>
      <w:pBdr>
        <w:bottom w:val="none" w:color="auto" w:sz="0" w:space="0"/>
      </w:pBdr>
      <w:jc w:val="left"/>
    </w:pPr>
    <w:r>
      <w:drawing>
        <wp:anchor distT="0" distB="0" distL="114300" distR="114300" simplePos="0" relativeHeight="251660288" behindDoc="0" locked="0" layoutInCell="1" allowOverlap="1">
          <wp:simplePos x="0" y="0"/>
          <wp:positionH relativeFrom="column">
            <wp:posOffset>1404620</wp:posOffset>
          </wp:positionH>
          <wp:positionV relativeFrom="paragraph">
            <wp:posOffset>78740</wp:posOffset>
          </wp:positionV>
          <wp:extent cx="4533900" cy="45085"/>
          <wp:effectExtent l="0" t="0" r="0" b="0"/>
          <wp:wrapSquare wrapText="bothSides"/>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533900" cy="4508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4445</wp:posOffset>
          </wp:positionH>
          <wp:positionV relativeFrom="paragraph">
            <wp:posOffset>78740</wp:posOffset>
          </wp:positionV>
          <wp:extent cx="1390650" cy="46355"/>
          <wp:effectExtent l="19050" t="0" r="0" b="0"/>
          <wp:wrapSquare wrapText="bothSides"/>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1390650" cy="4635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3105"/>
        <w:tab w:val="center" w:pos="4536"/>
      </w:tabs>
      <w:jc w:val="both"/>
    </w:pPr>
    <w:r>
      <w:drawing>
        <wp:inline distT="0" distB="0" distL="0" distR="0">
          <wp:extent cx="1381125" cy="3810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81125" cy="381000"/>
                  </a:xfrm>
                  <a:prstGeom prst="rect">
                    <a:avLst/>
                  </a:prstGeom>
                  <a:noFill/>
                  <a:ln>
                    <a:noFill/>
                  </a:ln>
                </pic:spPr>
              </pic:pic>
            </a:graphicData>
          </a:graphic>
        </wp:inline>
      </w:drawing>
    </w:r>
    <w:r>
      <w:tab/>
    </w:r>
  </w:p>
  <w:p>
    <w:pPr>
      <w:pStyle w:val="5"/>
      <w:pBdr>
        <w:bottom w:val="none" w:color="auto" w:sz="0" w:space="0"/>
      </w:pBdr>
      <w:jc w:val="left"/>
    </w:pPr>
    <w:r>
      <w:drawing>
        <wp:inline distT="0" distB="0" distL="0" distR="0">
          <wp:extent cx="1390650" cy="57150"/>
          <wp:effectExtent l="0" t="0" r="0" b="0"/>
          <wp:docPr id="5"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90650" cy="57150"/>
                  </a:xfrm>
                  <a:prstGeom prst="rect">
                    <a:avLst/>
                  </a:prstGeom>
                  <a:noFill/>
                  <a:ln>
                    <a:noFill/>
                  </a:ln>
                </pic:spPr>
              </pic:pic>
            </a:graphicData>
          </a:graphic>
        </wp:inline>
      </w:drawing>
    </w:r>
    <w:r>
      <w:drawing>
        <wp:inline distT="0" distB="0" distL="0" distR="0">
          <wp:extent cx="4495800" cy="57150"/>
          <wp:effectExtent l="0" t="0" r="0" b="0"/>
          <wp:docPr id="6"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图片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495800" cy="57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95"/>
    <w:rsid w:val="00031309"/>
    <w:rsid w:val="000425D3"/>
    <w:rsid w:val="00052F4D"/>
    <w:rsid w:val="00063D60"/>
    <w:rsid w:val="000708EF"/>
    <w:rsid w:val="00074398"/>
    <w:rsid w:val="000B27C5"/>
    <w:rsid w:val="001010DD"/>
    <w:rsid w:val="001252F9"/>
    <w:rsid w:val="00134224"/>
    <w:rsid w:val="00134FD2"/>
    <w:rsid w:val="00175BB8"/>
    <w:rsid w:val="00184A31"/>
    <w:rsid w:val="001C1D33"/>
    <w:rsid w:val="001C27B7"/>
    <w:rsid w:val="001F459D"/>
    <w:rsid w:val="00200818"/>
    <w:rsid w:val="00204C64"/>
    <w:rsid w:val="00212AF2"/>
    <w:rsid w:val="0022176F"/>
    <w:rsid w:val="002468C2"/>
    <w:rsid w:val="0026211B"/>
    <w:rsid w:val="00280973"/>
    <w:rsid w:val="002820ED"/>
    <w:rsid w:val="00282A9B"/>
    <w:rsid w:val="002A0EC5"/>
    <w:rsid w:val="002B4483"/>
    <w:rsid w:val="002B7CD3"/>
    <w:rsid w:val="003C4D6D"/>
    <w:rsid w:val="003C5475"/>
    <w:rsid w:val="00407501"/>
    <w:rsid w:val="004549B8"/>
    <w:rsid w:val="00460587"/>
    <w:rsid w:val="004E63D9"/>
    <w:rsid w:val="005167B4"/>
    <w:rsid w:val="0054197F"/>
    <w:rsid w:val="005615FE"/>
    <w:rsid w:val="00594A54"/>
    <w:rsid w:val="005C330F"/>
    <w:rsid w:val="005C6CAE"/>
    <w:rsid w:val="005F4E6A"/>
    <w:rsid w:val="006068DC"/>
    <w:rsid w:val="00620E4A"/>
    <w:rsid w:val="00641067"/>
    <w:rsid w:val="00665EB9"/>
    <w:rsid w:val="00683FFE"/>
    <w:rsid w:val="006A6819"/>
    <w:rsid w:val="006B5EF9"/>
    <w:rsid w:val="006F60F4"/>
    <w:rsid w:val="00723693"/>
    <w:rsid w:val="00723CD1"/>
    <w:rsid w:val="00733786"/>
    <w:rsid w:val="0074333A"/>
    <w:rsid w:val="007A044B"/>
    <w:rsid w:val="0080625A"/>
    <w:rsid w:val="00832DFF"/>
    <w:rsid w:val="00840C1A"/>
    <w:rsid w:val="00854648"/>
    <w:rsid w:val="0087610B"/>
    <w:rsid w:val="00891C86"/>
    <w:rsid w:val="008C6EE6"/>
    <w:rsid w:val="0090116C"/>
    <w:rsid w:val="00942933"/>
    <w:rsid w:val="0096682F"/>
    <w:rsid w:val="0097253F"/>
    <w:rsid w:val="00987717"/>
    <w:rsid w:val="009C1E3F"/>
    <w:rsid w:val="009D0A92"/>
    <w:rsid w:val="009F067E"/>
    <w:rsid w:val="00A32CD1"/>
    <w:rsid w:val="00A37ADF"/>
    <w:rsid w:val="00A42A6E"/>
    <w:rsid w:val="00A80FDE"/>
    <w:rsid w:val="00A97165"/>
    <w:rsid w:val="00AB4D5E"/>
    <w:rsid w:val="00B73ED9"/>
    <w:rsid w:val="00B935A2"/>
    <w:rsid w:val="00BA5EB5"/>
    <w:rsid w:val="00BB0AE2"/>
    <w:rsid w:val="00BC00EE"/>
    <w:rsid w:val="00BE0FE5"/>
    <w:rsid w:val="00CD2603"/>
    <w:rsid w:val="00CF0627"/>
    <w:rsid w:val="00CF674E"/>
    <w:rsid w:val="00D02A50"/>
    <w:rsid w:val="00D25B9E"/>
    <w:rsid w:val="00D50995"/>
    <w:rsid w:val="00D922BE"/>
    <w:rsid w:val="00DC64EC"/>
    <w:rsid w:val="00DD59AF"/>
    <w:rsid w:val="00E060B8"/>
    <w:rsid w:val="00E25DBC"/>
    <w:rsid w:val="00E5716A"/>
    <w:rsid w:val="00E57585"/>
    <w:rsid w:val="00EC7C20"/>
    <w:rsid w:val="00EE143C"/>
    <w:rsid w:val="00F0656F"/>
    <w:rsid w:val="00F167EB"/>
    <w:rsid w:val="00F62CB7"/>
    <w:rsid w:val="00F84755"/>
    <w:rsid w:val="00FD01B1"/>
    <w:rsid w:val="00FF398E"/>
    <w:rsid w:val="06362943"/>
    <w:rsid w:val="12CB6AB7"/>
    <w:rsid w:val="14975F81"/>
    <w:rsid w:val="1715040E"/>
    <w:rsid w:val="198368C0"/>
    <w:rsid w:val="225122B1"/>
    <w:rsid w:val="27947350"/>
    <w:rsid w:val="3AF21EE9"/>
    <w:rsid w:val="4EBA2236"/>
    <w:rsid w:val="58AF135C"/>
    <w:rsid w:val="5A2423EC"/>
    <w:rsid w:val="65CB1A2D"/>
    <w:rsid w:val="70872E4D"/>
    <w:rsid w:val="713D009B"/>
    <w:rsid w:val="74C0625B"/>
    <w:rsid w:val="78950C2B"/>
    <w:rsid w:val="79DF5F89"/>
    <w:rsid w:val="7FDD2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kern w:val="2"/>
      <w:sz w:val="18"/>
      <w:szCs w:val="18"/>
    </w:rPr>
  </w:style>
  <w:style w:type="character" w:customStyle="1" w:styleId="9">
    <w:name w:val="页脚 Char"/>
    <w:basedOn w:val="7"/>
    <w:link w:val="4"/>
    <w:qFormat/>
    <w:uiPriority w:val="99"/>
    <w:rPr>
      <w:kern w:val="2"/>
      <w:sz w:val="18"/>
      <w:szCs w:val="18"/>
    </w:rPr>
  </w:style>
  <w:style w:type="character" w:customStyle="1" w:styleId="10">
    <w:name w:val="批注框文本 Char"/>
    <w:basedOn w:val="7"/>
    <w:link w:val="3"/>
    <w:semiHidden/>
    <w:qFormat/>
    <w:uiPriority w:val="99"/>
    <w:rPr>
      <w:kern w:val="2"/>
      <w:sz w:val="18"/>
      <w:szCs w:val="18"/>
    </w:rPr>
  </w:style>
  <w:style w:type="character" w:customStyle="1" w:styleId="11">
    <w:name w:val="日期 Char"/>
    <w:basedOn w:val="7"/>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3328</Words>
  <Characters>3388</Characters>
  <Lines>19</Lines>
  <Paragraphs>5</Paragraphs>
  <TotalTime>1</TotalTime>
  <ScaleCrop>false</ScaleCrop>
  <LinksUpToDate>false</LinksUpToDate>
  <CharactersWithSpaces>3460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2024-02-05T21:42:00Z</dcterms:created>
  <dc:creator>lenovo`</dc:creator>
  <cp:lastModifiedBy>史云景</cp:lastModifiedBy>
  <cp:lastPrinted>2024-02-05T21:41:00Z</cp:lastPrinted>
  <dcterms:modified xsi:type="dcterms:W3CDTF">2025-11-18T10:36:58Z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6C04A126B8A147C0B2C35C8DE085C70E_13</vt:lpwstr>
  </property>
  <property fmtid="{D5CDD505-2E9C-101B-9397-08002B2CF9AE}" pid="4" name="KSOTemplateDocerSaveRecord">
    <vt:lpwstr>eyJoZGlkIjoiMDc3Yzg1N2EwMmNlOTJiZTJmN2M0Y2YxZGZjYmQyZWMiLCJ1c2VySWQiOiIyNzE5NTU5NzQifQ==</vt:lpwstr>
  </property>
</Properties>
</file>